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724C1" w14:textId="77777777" w:rsidR="00BB6E44" w:rsidRPr="00F2712B" w:rsidRDefault="00BB6E44" w:rsidP="00F2712B">
      <w:pPr>
        <w:pStyle w:val="Akapitzlist"/>
        <w:spacing w:before="120" w:line="276" w:lineRule="auto"/>
        <w:ind w:left="0"/>
        <w:contextualSpacing w:val="0"/>
        <w:rPr>
          <w:rFonts w:ascii="Open Sans" w:hAnsi="Open Sans" w:cs="Open Sans"/>
          <w:b/>
          <w:sz w:val="22"/>
          <w:szCs w:val="22"/>
        </w:rPr>
      </w:pPr>
    </w:p>
    <w:p w14:paraId="7B69A281" w14:textId="7755318F" w:rsidR="00BB6E44" w:rsidRPr="003E1994" w:rsidRDefault="00BB6E44" w:rsidP="003E1994">
      <w:pPr>
        <w:pStyle w:val="Nagwek1"/>
        <w:rPr>
          <w:rFonts w:ascii="Open Sans" w:hAnsi="Open Sans" w:cs="Open Sans"/>
          <w:sz w:val="22"/>
          <w:szCs w:val="22"/>
        </w:rPr>
      </w:pPr>
      <w:r w:rsidRPr="003E1994">
        <w:rPr>
          <w:rFonts w:ascii="Open Sans" w:hAnsi="Open Sans" w:cs="Open Sans"/>
          <w:sz w:val="22"/>
          <w:szCs w:val="22"/>
        </w:rPr>
        <w:t xml:space="preserve">Załącznik </w:t>
      </w:r>
      <w:r w:rsidR="00EA0D53" w:rsidRPr="003E1994">
        <w:rPr>
          <w:rFonts w:ascii="Open Sans" w:hAnsi="Open Sans" w:cs="Open Sans"/>
          <w:sz w:val="22"/>
          <w:szCs w:val="22"/>
        </w:rPr>
        <w:t>nr 6 do Regulaminu</w:t>
      </w:r>
    </w:p>
    <w:p w14:paraId="7CFD435E" w14:textId="1CE909AD" w:rsidR="00E07076" w:rsidRPr="00F2712B" w:rsidRDefault="005F238F" w:rsidP="00F2712B">
      <w:pPr>
        <w:pStyle w:val="Akapitzlist"/>
        <w:spacing w:before="120" w:line="276" w:lineRule="auto"/>
        <w:ind w:left="0"/>
        <w:contextualSpacing w:val="0"/>
        <w:rPr>
          <w:rFonts w:ascii="Open Sans" w:hAnsi="Open Sans" w:cs="Open Sans"/>
          <w:b/>
          <w:sz w:val="22"/>
          <w:szCs w:val="22"/>
        </w:rPr>
      </w:pPr>
      <w:r w:rsidRPr="00F2712B">
        <w:rPr>
          <w:rFonts w:ascii="Open Sans" w:hAnsi="Open Sans" w:cs="Open Sans"/>
          <w:b/>
          <w:sz w:val="22"/>
          <w:szCs w:val="22"/>
        </w:rPr>
        <w:t>Dodatkowe warunki dotyczące kwalifikowalności w uzupełnieniu do Wytycznych dotyczących kwalifikowalności wydatków na lata 2021-2027</w:t>
      </w:r>
    </w:p>
    <w:p w14:paraId="10192EF7" w14:textId="77777777" w:rsidR="00E07076" w:rsidRPr="00F2712B" w:rsidRDefault="00E07076" w:rsidP="00F2712B">
      <w:pPr>
        <w:pStyle w:val="Akapitzlist"/>
        <w:spacing w:before="120" w:line="276" w:lineRule="auto"/>
        <w:ind w:left="0"/>
        <w:contextualSpacing w:val="0"/>
        <w:rPr>
          <w:rFonts w:ascii="Open Sans" w:hAnsi="Open Sans" w:cs="Open Sans"/>
          <w:b/>
          <w:sz w:val="22"/>
          <w:szCs w:val="22"/>
        </w:rPr>
      </w:pPr>
    </w:p>
    <w:p w14:paraId="37CED61E" w14:textId="724F636E" w:rsidR="00BB6E44" w:rsidRPr="00F2712B" w:rsidRDefault="00BB6E44" w:rsidP="00F2712B">
      <w:pPr>
        <w:pStyle w:val="Akapitzlist"/>
        <w:numPr>
          <w:ilvl w:val="0"/>
          <w:numId w:val="15"/>
        </w:numPr>
        <w:spacing w:before="120" w:line="276" w:lineRule="auto"/>
        <w:contextualSpacing w:val="0"/>
        <w:rPr>
          <w:rFonts w:ascii="Open Sans" w:hAnsi="Open Sans" w:cs="Open Sans"/>
          <w:bCs/>
          <w:sz w:val="22"/>
          <w:szCs w:val="22"/>
        </w:rPr>
      </w:pPr>
      <w:r w:rsidRPr="00F2712B">
        <w:rPr>
          <w:rFonts w:ascii="Open Sans" w:hAnsi="Open Sans" w:cs="Open Sans"/>
          <w:bCs/>
          <w:sz w:val="22"/>
          <w:szCs w:val="22"/>
        </w:rPr>
        <w:t>Wydatki muszą spełniać wymogi określone w </w:t>
      </w:r>
      <w:hyperlink r:id="rId8" w:history="1">
        <w:r w:rsidRPr="00F2712B">
          <w:rPr>
            <w:rStyle w:val="Hipercze"/>
            <w:rFonts w:ascii="Open Sans" w:hAnsi="Open Sans" w:cs="Open Sans"/>
            <w:bCs/>
            <w:i/>
            <w:iCs/>
            <w:sz w:val="22"/>
            <w:szCs w:val="22"/>
          </w:rPr>
          <w:t>Wytyczny</w:t>
        </w:r>
        <w:r w:rsidR="00EC00CB" w:rsidRPr="00F2712B">
          <w:rPr>
            <w:rStyle w:val="Hipercze"/>
            <w:rFonts w:ascii="Open Sans" w:hAnsi="Open Sans" w:cs="Open Sans"/>
            <w:bCs/>
            <w:i/>
            <w:iCs/>
            <w:sz w:val="22"/>
            <w:szCs w:val="22"/>
          </w:rPr>
          <w:t>ch</w:t>
        </w:r>
        <w:r w:rsidRPr="00F2712B">
          <w:rPr>
            <w:rStyle w:val="Hipercze"/>
            <w:rFonts w:ascii="Open Sans" w:hAnsi="Open Sans" w:cs="Open Sans"/>
            <w:bCs/>
            <w:i/>
            <w:iCs/>
            <w:sz w:val="22"/>
            <w:szCs w:val="22"/>
          </w:rPr>
          <w:t xml:space="preserve"> dotyczący</w:t>
        </w:r>
        <w:r w:rsidR="00EC00CB" w:rsidRPr="00F2712B">
          <w:rPr>
            <w:rStyle w:val="Hipercze"/>
            <w:rFonts w:ascii="Open Sans" w:hAnsi="Open Sans" w:cs="Open Sans"/>
            <w:bCs/>
            <w:i/>
            <w:iCs/>
            <w:sz w:val="22"/>
            <w:szCs w:val="22"/>
          </w:rPr>
          <w:t>ch</w:t>
        </w:r>
        <w:r w:rsidRPr="00F2712B">
          <w:rPr>
            <w:rStyle w:val="Hipercze"/>
            <w:rFonts w:ascii="Open Sans" w:hAnsi="Open Sans" w:cs="Open Sans"/>
            <w:bCs/>
            <w:i/>
            <w:iCs/>
            <w:sz w:val="22"/>
            <w:szCs w:val="22"/>
          </w:rPr>
          <w:t xml:space="preserve"> kwalifikowalności wydatków na lata 2021-2027</w:t>
        </w:r>
      </w:hyperlink>
      <w:r w:rsidRPr="00F2712B">
        <w:rPr>
          <w:rFonts w:ascii="Open Sans" w:hAnsi="Open Sans" w:cs="Open Sans"/>
          <w:bCs/>
          <w:sz w:val="22"/>
          <w:szCs w:val="22"/>
        </w:rPr>
        <w:t>.</w:t>
      </w:r>
    </w:p>
    <w:p w14:paraId="42CFA57A" w14:textId="22B3618E" w:rsidR="00EB4765" w:rsidRPr="00F2712B" w:rsidRDefault="00EB4765" w:rsidP="00F2712B">
      <w:pPr>
        <w:pStyle w:val="Akapitzlist"/>
        <w:numPr>
          <w:ilvl w:val="0"/>
          <w:numId w:val="15"/>
        </w:numPr>
        <w:spacing w:before="120" w:line="276" w:lineRule="auto"/>
        <w:contextualSpacing w:val="0"/>
        <w:rPr>
          <w:rFonts w:ascii="Open Sans" w:hAnsi="Open Sans" w:cs="Open Sans"/>
          <w:bCs/>
          <w:sz w:val="22"/>
          <w:szCs w:val="22"/>
        </w:rPr>
      </w:pPr>
      <w:r w:rsidRPr="00F2712B">
        <w:rPr>
          <w:rFonts w:ascii="Open Sans" w:hAnsi="Open Sans" w:cs="Open Sans"/>
          <w:bCs/>
          <w:sz w:val="22"/>
          <w:szCs w:val="22"/>
        </w:rPr>
        <w:t>Wsparcie może zostać przeznaczone na:</w:t>
      </w:r>
    </w:p>
    <w:p w14:paraId="330C1316" w14:textId="466B30FE" w:rsidR="00EB4765" w:rsidRPr="00F2712B" w:rsidRDefault="00FD2D29" w:rsidP="00F2712B">
      <w:pPr>
        <w:pStyle w:val="Akapitzlist"/>
        <w:numPr>
          <w:ilvl w:val="1"/>
          <w:numId w:val="22"/>
        </w:numPr>
        <w:spacing w:before="120" w:line="276" w:lineRule="auto"/>
        <w:contextualSpacing w:val="0"/>
        <w:rPr>
          <w:rFonts w:ascii="Open Sans" w:hAnsi="Open Sans" w:cs="Open Sans"/>
          <w:bCs/>
          <w:sz w:val="22"/>
          <w:szCs w:val="22"/>
        </w:rPr>
      </w:pPr>
      <w:r w:rsidRPr="00F2712B">
        <w:rPr>
          <w:rFonts w:ascii="Open Sans" w:hAnsi="Open Sans" w:cs="Open Sans"/>
          <w:bCs/>
          <w:sz w:val="22"/>
          <w:szCs w:val="22"/>
        </w:rPr>
        <w:t>k</w:t>
      </w:r>
      <w:r w:rsidR="00EB4765" w:rsidRPr="00F2712B">
        <w:rPr>
          <w:rFonts w:ascii="Open Sans" w:hAnsi="Open Sans" w:cs="Open Sans"/>
          <w:bCs/>
          <w:sz w:val="22"/>
          <w:szCs w:val="22"/>
        </w:rPr>
        <w:t>oszty bezpośrednie:</w:t>
      </w:r>
    </w:p>
    <w:p w14:paraId="7144FDB1" w14:textId="77777777" w:rsidR="00EB4765" w:rsidRPr="00F2712B" w:rsidRDefault="00EB4765" w:rsidP="00F2712B">
      <w:pPr>
        <w:pStyle w:val="Akapitzlist"/>
        <w:numPr>
          <w:ilvl w:val="2"/>
          <w:numId w:val="23"/>
        </w:numPr>
        <w:spacing w:before="120" w:line="276" w:lineRule="auto"/>
        <w:ind w:hanging="742"/>
        <w:contextualSpacing w:val="0"/>
        <w:rPr>
          <w:rFonts w:ascii="Open Sans" w:hAnsi="Open Sans" w:cs="Open Sans"/>
          <w:bCs/>
          <w:sz w:val="22"/>
          <w:szCs w:val="22"/>
        </w:rPr>
      </w:pPr>
      <w:r w:rsidRPr="00F2712B">
        <w:rPr>
          <w:rFonts w:ascii="Open Sans" w:hAnsi="Open Sans" w:cs="Open Sans"/>
          <w:bCs/>
          <w:sz w:val="22"/>
          <w:szCs w:val="22"/>
        </w:rPr>
        <w:t>roboty budowlane;</w:t>
      </w:r>
    </w:p>
    <w:p w14:paraId="68461DBC" w14:textId="194354CC" w:rsidR="00FF63A7" w:rsidRPr="00F2712B" w:rsidRDefault="00EB4765" w:rsidP="00F2712B">
      <w:pPr>
        <w:pStyle w:val="Akapitzlist"/>
        <w:numPr>
          <w:ilvl w:val="2"/>
          <w:numId w:val="23"/>
        </w:numPr>
        <w:spacing w:before="120" w:line="276" w:lineRule="auto"/>
        <w:ind w:hanging="742"/>
        <w:contextualSpacing w:val="0"/>
        <w:rPr>
          <w:rFonts w:ascii="Open Sans" w:hAnsi="Open Sans" w:cs="Open Sans"/>
          <w:bCs/>
          <w:sz w:val="22"/>
          <w:szCs w:val="22"/>
        </w:rPr>
      </w:pPr>
      <w:r w:rsidRPr="00F2712B">
        <w:rPr>
          <w:rFonts w:ascii="Open Sans" w:hAnsi="Open Sans" w:cs="Open Sans"/>
          <w:bCs/>
          <w:sz w:val="22"/>
          <w:szCs w:val="22"/>
        </w:rPr>
        <w:t>środki trwałe/dostawy;</w:t>
      </w:r>
      <w:r w:rsidR="00FF63A7" w:rsidRPr="00F2712B">
        <w:rPr>
          <w:rFonts w:ascii="Open Sans" w:hAnsi="Open Sans" w:cs="Open Sans"/>
          <w:bCs/>
          <w:sz w:val="22"/>
          <w:szCs w:val="22"/>
        </w:rPr>
        <w:t xml:space="preserve"> </w:t>
      </w:r>
    </w:p>
    <w:p w14:paraId="77E05332" w14:textId="08A0F739" w:rsidR="00EB4765" w:rsidRPr="00F2712B" w:rsidRDefault="00EB4765" w:rsidP="00F2712B">
      <w:pPr>
        <w:pStyle w:val="Akapitzlist"/>
        <w:numPr>
          <w:ilvl w:val="2"/>
          <w:numId w:val="23"/>
        </w:numPr>
        <w:spacing w:before="120" w:line="276" w:lineRule="auto"/>
        <w:ind w:hanging="742"/>
        <w:contextualSpacing w:val="0"/>
        <w:rPr>
          <w:rFonts w:ascii="Open Sans" w:hAnsi="Open Sans" w:cs="Open Sans"/>
          <w:bCs/>
          <w:sz w:val="22"/>
          <w:szCs w:val="22"/>
        </w:rPr>
      </w:pPr>
      <w:r w:rsidRPr="00F2712B">
        <w:rPr>
          <w:rFonts w:ascii="Open Sans" w:hAnsi="Open Sans" w:cs="Open Sans"/>
          <w:bCs/>
          <w:sz w:val="22"/>
          <w:szCs w:val="22"/>
        </w:rPr>
        <w:t>wartości niematerialne i prawne;</w:t>
      </w:r>
    </w:p>
    <w:p w14:paraId="73E49AE0" w14:textId="77777777" w:rsidR="00EB4765" w:rsidRPr="00F2712B" w:rsidRDefault="00EB4765" w:rsidP="00F2712B">
      <w:pPr>
        <w:pStyle w:val="Akapitzlist"/>
        <w:numPr>
          <w:ilvl w:val="2"/>
          <w:numId w:val="23"/>
        </w:numPr>
        <w:spacing w:before="120" w:line="276" w:lineRule="auto"/>
        <w:ind w:hanging="742"/>
        <w:contextualSpacing w:val="0"/>
        <w:rPr>
          <w:rFonts w:ascii="Open Sans" w:hAnsi="Open Sans" w:cs="Open Sans"/>
          <w:bCs/>
          <w:sz w:val="22"/>
          <w:szCs w:val="22"/>
        </w:rPr>
      </w:pPr>
      <w:r w:rsidRPr="00F2712B">
        <w:rPr>
          <w:rFonts w:ascii="Open Sans" w:hAnsi="Open Sans" w:cs="Open Sans"/>
          <w:color w:val="000000"/>
          <w:sz w:val="22"/>
          <w:szCs w:val="22"/>
        </w:rPr>
        <w:t>podatki i opłaty;</w:t>
      </w:r>
    </w:p>
    <w:p w14:paraId="47BC260B" w14:textId="4718C564" w:rsidR="00FF63A7" w:rsidRPr="00F2712B" w:rsidRDefault="00EB4765" w:rsidP="00F2712B">
      <w:pPr>
        <w:pStyle w:val="Akapitzlist"/>
        <w:numPr>
          <w:ilvl w:val="2"/>
          <w:numId w:val="23"/>
        </w:numPr>
        <w:spacing w:before="120" w:line="276" w:lineRule="auto"/>
        <w:ind w:hanging="742"/>
        <w:contextualSpacing w:val="0"/>
        <w:rPr>
          <w:rFonts w:ascii="Open Sans" w:hAnsi="Open Sans" w:cs="Open Sans"/>
          <w:bCs/>
          <w:sz w:val="22"/>
          <w:szCs w:val="22"/>
        </w:rPr>
      </w:pPr>
      <w:r w:rsidRPr="00F2712B">
        <w:rPr>
          <w:rFonts w:ascii="Open Sans" w:hAnsi="Open Sans" w:cs="Open Sans"/>
          <w:color w:val="000000"/>
          <w:sz w:val="22"/>
          <w:szCs w:val="22"/>
        </w:rPr>
        <w:t>dostawy (inne niż środki trwałe);</w:t>
      </w:r>
    </w:p>
    <w:p w14:paraId="0B13C0EF" w14:textId="1C595869" w:rsidR="00EB4765" w:rsidRPr="00F2712B" w:rsidRDefault="00EB4765" w:rsidP="00F2712B">
      <w:pPr>
        <w:pStyle w:val="Akapitzlist"/>
        <w:numPr>
          <w:ilvl w:val="2"/>
          <w:numId w:val="23"/>
        </w:numPr>
        <w:spacing w:before="120" w:line="276" w:lineRule="auto"/>
        <w:ind w:left="2127" w:hanging="709"/>
        <w:contextualSpacing w:val="0"/>
        <w:rPr>
          <w:rFonts w:ascii="Open Sans" w:hAnsi="Open Sans" w:cs="Open Sans"/>
          <w:bCs/>
          <w:sz w:val="22"/>
          <w:szCs w:val="22"/>
        </w:rPr>
      </w:pPr>
      <w:r w:rsidRPr="00F2712B">
        <w:rPr>
          <w:rFonts w:ascii="Open Sans" w:hAnsi="Open Sans" w:cs="Open Sans"/>
          <w:color w:val="000000"/>
          <w:sz w:val="22"/>
          <w:szCs w:val="22"/>
        </w:rPr>
        <w:t>nadzór/ zarządzanie</w:t>
      </w:r>
      <w:r w:rsidRPr="00F2712B">
        <w:rPr>
          <w:rFonts w:ascii="Open Sans" w:hAnsi="Open Sans" w:cs="Open Sans"/>
          <w:bCs/>
          <w:sz w:val="22"/>
          <w:szCs w:val="22"/>
        </w:rPr>
        <w:t xml:space="preserve"> inwestycją;</w:t>
      </w:r>
    </w:p>
    <w:p w14:paraId="0FDD53D0" w14:textId="77777777" w:rsidR="00EB4765" w:rsidRPr="00F2712B" w:rsidRDefault="00EB4765" w:rsidP="00F2712B">
      <w:pPr>
        <w:pStyle w:val="Akapitzlist"/>
        <w:numPr>
          <w:ilvl w:val="2"/>
          <w:numId w:val="23"/>
        </w:numPr>
        <w:spacing w:before="120" w:line="276" w:lineRule="auto"/>
        <w:ind w:left="2127" w:hanging="709"/>
        <w:contextualSpacing w:val="0"/>
        <w:rPr>
          <w:rFonts w:ascii="Open Sans" w:hAnsi="Open Sans" w:cs="Open Sans"/>
          <w:bCs/>
          <w:sz w:val="22"/>
          <w:szCs w:val="22"/>
        </w:rPr>
      </w:pPr>
      <w:r w:rsidRPr="00F2712B">
        <w:rPr>
          <w:rFonts w:ascii="Open Sans" w:hAnsi="Open Sans" w:cs="Open Sans"/>
          <w:color w:val="000000"/>
          <w:sz w:val="22"/>
          <w:szCs w:val="22"/>
        </w:rPr>
        <w:t>personel projektu</w:t>
      </w:r>
      <w:r w:rsidRPr="00F2712B">
        <w:rPr>
          <w:rFonts w:ascii="Open Sans" w:hAnsi="Open Sans" w:cs="Open Sans"/>
          <w:bCs/>
          <w:sz w:val="22"/>
          <w:szCs w:val="22"/>
        </w:rPr>
        <w:t>;</w:t>
      </w:r>
    </w:p>
    <w:p w14:paraId="38E514E0" w14:textId="77777777" w:rsidR="00EB4765" w:rsidRPr="00F2712B" w:rsidRDefault="00EB4765" w:rsidP="00F2712B">
      <w:pPr>
        <w:pStyle w:val="Akapitzlist"/>
        <w:numPr>
          <w:ilvl w:val="2"/>
          <w:numId w:val="23"/>
        </w:numPr>
        <w:spacing w:before="120" w:line="276" w:lineRule="auto"/>
        <w:ind w:hanging="742"/>
        <w:contextualSpacing w:val="0"/>
        <w:rPr>
          <w:rFonts w:ascii="Open Sans" w:hAnsi="Open Sans" w:cs="Open Sans"/>
          <w:bCs/>
          <w:sz w:val="22"/>
          <w:szCs w:val="22"/>
        </w:rPr>
      </w:pPr>
      <w:r w:rsidRPr="00F2712B">
        <w:rPr>
          <w:rFonts w:ascii="Open Sans" w:hAnsi="Open Sans" w:cs="Open Sans"/>
          <w:bCs/>
          <w:sz w:val="22"/>
          <w:szCs w:val="22"/>
        </w:rPr>
        <w:t xml:space="preserve">usługi zewnętrzne, w tym np.: </w:t>
      </w:r>
    </w:p>
    <w:p w14:paraId="475EA5B3" w14:textId="2AA167C6" w:rsidR="00EB4765" w:rsidRPr="00F2712B" w:rsidRDefault="00EB4765" w:rsidP="00F2712B">
      <w:pPr>
        <w:pStyle w:val="Akapitzlist"/>
        <w:numPr>
          <w:ilvl w:val="3"/>
          <w:numId w:val="24"/>
        </w:numPr>
        <w:spacing w:before="120" w:line="276" w:lineRule="auto"/>
        <w:ind w:left="2835" w:hanging="895"/>
        <w:contextualSpacing w:val="0"/>
        <w:rPr>
          <w:rFonts w:ascii="Open Sans" w:hAnsi="Open Sans" w:cs="Open Sans"/>
          <w:bCs/>
          <w:sz w:val="22"/>
          <w:szCs w:val="22"/>
        </w:rPr>
      </w:pPr>
      <w:r w:rsidRPr="00F2712B">
        <w:rPr>
          <w:rFonts w:ascii="Open Sans" w:hAnsi="Open Sans" w:cs="Open Sans"/>
          <w:bCs/>
          <w:sz w:val="22"/>
          <w:szCs w:val="22"/>
        </w:rPr>
        <w:t xml:space="preserve">opracowanie dokumentacji projektowej i dokumentacji przetargowej (z wyłączeniem wniosku </w:t>
      </w:r>
      <w:r w:rsidR="00336793" w:rsidRPr="00F2712B">
        <w:rPr>
          <w:rFonts w:ascii="Open Sans" w:hAnsi="Open Sans" w:cs="Open Sans"/>
          <w:bCs/>
          <w:sz w:val="22"/>
          <w:szCs w:val="22"/>
        </w:rPr>
        <w:t>o </w:t>
      </w:r>
      <w:r w:rsidRPr="00F2712B">
        <w:rPr>
          <w:rFonts w:ascii="Open Sans" w:hAnsi="Open Sans" w:cs="Open Sans"/>
          <w:bCs/>
          <w:sz w:val="22"/>
          <w:szCs w:val="22"/>
        </w:rPr>
        <w:t>dofinansowanie) wraz z kosztami pozyskania niezbędnych opinii i uzgodnień;</w:t>
      </w:r>
    </w:p>
    <w:p w14:paraId="15079314" w14:textId="77777777" w:rsidR="00EB4765" w:rsidRPr="00F2712B" w:rsidRDefault="00EB4765" w:rsidP="00F2712B">
      <w:pPr>
        <w:pStyle w:val="Akapitzlist"/>
        <w:numPr>
          <w:ilvl w:val="3"/>
          <w:numId w:val="24"/>
        </w:numPr>
        <w:spacing w:before="120" w:line="276" w:lineRule="auto"/>
        <w:ind w:left="2835" w:hanging="895"/>
        <w:contextualSpacing w:val="0"/>
        <w:rPr>
          <w:rFonts w:ascii="Open Sans" w:hAnsi="Open Sans" w:cs="Open Sans"/>
          <w:bCs/>
          <w:sz w:val="22"/>
          <w:szCs w:val="22"/>
        </w:rPr>
      </w:pPr>
      <w:r w:rsidRPr="00F2712B">
        <w:rPr>
          <w:rFonts w:ascii="Open Sans" w:hAnsi="Open Sans" w:cs="Open Sans"/>
          <w:bCs/>
          <w:sz w:val="22"/>
          <w:szCs w:val="22"/>
        </w:rPr>
        <w:t>koszty i opłaty (inne niż uwzględnione w kosztach pośrednich) np. związane z pozyskaniem decyzji administracyjnych niezbędnych dla realizacji inwestycji, w tym np. pozwolenia na budowę. itp.;</w:t>
      </w:r>
    </w:p>
    <w:p w14:paraId="5EA231F1" w14:textId="77777777" w:rsidR="00EB4765" w:rsidRPr="00F2712B" w:rsidRDefault="00EB4765" w:rsidP="00F2712B">
      <w:pPr>
        <w:pStyle w:val="Akapitzlist"/>
        <w:numPr>
          <w:ilvl w:val="3"/>
          <w:numId w:val="24"/>
        </w:numPr>
        <w:spacing w:before="120" w:line="276" w:lineRule="auto"/>
        <w:ind w:left="2835" w:hanging="895"/>
        <w:contextualSpacing w:val="0"/>
        <w:rPr>
          <w:rFonts w:ascii="Open Sans" w:hAnsi="Open Sans" w:cs="Open Sans"/>
          <w:bCs/>
          <w:sz w:val="22"/>
          <w:szCs w:val="22"/>
        </w:rPr>
      </w:pPr>
      <w:r w:rsidRPr="00F2712B">
        <w:rPr>
          <w:rFonts w:ascii="Open Sans" w:hAnsi="Open Sans" w:cs="Open Sans"/>
          <w:bCs/>
          <w:sz w:val="22"/>
          <w:szCs w:val="22"/>
        </w:rPr>
        <w:t xml:space="preserve">przygotowanie dokumentacji przetargowej, w tym opracowanie SIWZ, czy sporządzenie/aktualizacja kosztorysów inwestorskich; </w:t>
      </w:r>
    </w:p>
    <w:p w14:paraId="0F62D5ED" w14:textId="77777777" w:rsidR="00EB4765" w:rsidRPr="00F2712B" w:rsidRDefault="00EB4765" w:rsidP="00F2712B">
      <w:pPr>
        <w:pStyle w:val="Akapitzlist"/>
        <w:numPr>
          <w:ilvl w:val="3"/>
          <w:numId w:val="24"/>
        </w:numPr>
        <w:spacing w:before="120" w:line="276" w:lineRule="auto"/>
        <w:ind w:hanging="895"/>
        <w:contextualSpacing w:val="0"/>
        <w:rPr>
          <w:rFonts w:ascii="Open Sans" w:hAnsi="Open Sans" w:cs="Open Sans"/>
          <w:bCs/>
          <w:sz w:val="22"/>
          <w:szCs w:val="22"/>
        </w:rPr>
      </w:pPr>
      <w:r w:rsidRPr="00F2712B">
        <w:rPr>
          <w:rFonts w:ascii="Open Sans" w:hAnsi="Open Sans" w:cs="Open Sans"/>
          <w:bCs/>
          <w:sz w:val="22"/>
          <w:szCs w:val="22"/>
        </w:rPr>
        <w:t>koszty opracowania dokumentacji służącej ocenie oddziaływania na środowisko planowanej inwestycji;</w:t>
      </w:r>
    </w:p>
    <w:p w14:paraId="1C575DCF" w14:textId="6B1E525E" w:rsidR="00EB4765" w:rsidRPr="00F2712B" w:rsidRDefault="00EB4765" w:rsidP="00F2712B">
      <w:pPr>
        <w:pStyle w:val="Akapitzlist"/>
        <w:numPr>
          <w:ilvl w:val="3"/>
          <w:numId w:val="24"/>
        </w:numPr>
        <w:spacing w:before="120" w:line="276" w:lineRule="auto"/>
        <w:ind w:hanging="895"/>
        <w:contextualSpacing w:val="0"/>
        <w:rPr>
          <w:rFonts w:ascii="Open Sans" w:hAnsi="Open Sans" w:cs="Open Sans"/>
          <w:bCs/>
          <w:sz w:val="22"/>
          <w:szCs w:val="22"/>
        </w:rPr>
      </w:pPr>
      <w:r w:rsidRPr="00F2712B">
        <w:rPr>
          <w:rFonts w:ascii="Open Sans" w:hAnsi="Open Sans" w:cs="Open Sans"/>
          <w:bCs/>
          <w:sz w:val="22"/>
          <w:szCs w:val="22"/>
        </w:rPr>
        <w:t xml:space="preserve">działania informacyjne i promocyjne. </w:t>
      </w:r>
    </w:p>
    <w:p w14:paraId="5EB68100" w14:textId="1D8A3CC6" w:rsidR="00EB4765" w:rsidRPr="00F2712B" w:rsidRDefault="00FF63A7" w:rsidP="00F2712B">
      <w:pPr>
        <w:pStyle w:val="Akapitzlist"/>
        <w:spacing w:before="120" w:line="276" w:lineRule="auto"/>
        <w:ind w:left="1440" w:hanging="306"/>
        <w:contextualSpacing w:val="0"/>
        <w:rPr>
          <w:rFonts w:ascii="Open Sans" w:hAnsi="Open Sans" w:cs="Open Sans"/>
          <w:bCs/>
          <w:sz w:val="22"/>
          <w:szCs w:val="22"/>
        </w:rPr>
      </w:pPr>
      <w:r w:rsidRPr="00F2712B">
        <w:rPr>
          <w:rFonts w:ascii="Open Sans" w:hAnsi="Open Sans" w:cs="Open Sans"/>
          <w:bCs/>
          <w:sz w:val="22"/>
          <w:szCs w:val="22"/>
        </w:rPr>
        <w:t xml:space="preserve">2) </w:t>
      </w:r>
      <w:r w:rsidR="00EB4765" w:rsidRPr="00F2712B">
        <w:rPr>
          <w:rFonts w:ascii="Open Sans" w:hAnsi="Open Sans" w:cs="Open Sans"/>
          <w:bCs/>
          <w:sz w:val="22"/>
          <w:szCs w:val="22"/>
        </w:rPr>
        <w:t xml:space="preserve">Koszty pośrednie, o których mowa w Podrozdziale 3.12. </w:t>
      </w:r>
      <w:hyperlink r:id="rId9" w:history="1">
        <w:r w:rsidR="00EB4765" w:rsidRPr="00F2712B">
          <w:rPr>
            <w:rStyle w:val="Hipercze"/>
            <w:rFonts w:ascii="Open Sans" w:hAnsi="Open Sans" w:cs="Open Sans"/>
            <w:bCs/>
            <w:sz w:val="22"/>
            <w:szCs w:val="22"/>
          </w:rPr>
          <w:t>Wytycznych dotyczących kwalifikowalności wydatków na lata 2021-2027</w:t>
        </w:r>
      </w:hyperlink>
      <w:r w:rsidR="00EB4765" w:rsidRPr="00F2712B">
        <w:rPr>
          <w:rFonts w:ascii="Open Sans" w:hAnsi="Open Sans" w:cs="Open Sans"/>
          <w:bCs/>
          <w:sz w:val="22"/>
          <w:szCs w:val="22"/>
        </w:rPr>
        <w:t>, rozliczane</w:t>
      </w:r>
      <w:r w:rsidR="00EB4765" w:rsidRPr="00F2712B">
        <w:rPr>
          <w:rFonts w:ascii="Open Sans" w:hAnsi="Open Sans" w:cs="Open Sans"/>
          <w:sz w:val="22"/>
          <w:szCs w:val="22"/>
        </w:rPr>
        <w:t xml:space="preserve"> </w:t>
      </w:r>
      <w:r w:rsidR="00EB4765" w:rsidRPr="00F2712B">
        <w:rPr>
          <w:rFonts w:ascii="Open Sans" w:hAnsi="Open Sans" w:cs="Open Sans"/>
          <w:sz w:val="22"/>
          <w:szCs w:val="22"/>
        </w:rPr>
        <w:lastRenderedPageBreak/>
        <w:t xml:space="preserve">stawką ryczałtową 7 % kwalifikowalnych kosztów bezpośrednich, </w:t>
      </w:r>
      <w:r w:rsidR="00F2712B">
        <w:rPr>
          <w:rFonts w:ascii="Open Sans" w:hAnsi="Open Sans" w:cs="Open Sans"/>
          <w:sz w:val="22"/>
          <w:szCs w:val="22"/>
        </w:rPr>
        <w:br/>
      </w:r>
      <w:r w:rsidR="00EB4765" w:rsidRPr="00F2712B">
        <w:rPr>
          <w:rFonts w:ascii="Open Sans" w:hAnsi="Open Sans" w:cs="Open Sans"/>
          <w:sz w:val="22"/>
          <w:szCs w:val="22"/>
        </w:rPr>
        <w:t>w szczególności:</w:t>
      </w:r>
    </w:p>
    <w:p w14:paraId="1A7FBCB0" w14:textId="47EE80C3" w:rsidR="00EB4765" w:rsidRPr="00F2712B" w:rsidRDefault="00EB4765" w:rsidP="00F2712B">
      <w:pPr>
        <w:pStyle w:val="Akapitzlist"/>
        <w:numPr>
          <w:ilvl w:val="2"/>
          <w:numId w:val="15"/>
        </w:numPr>
        <w:spacing w:before="120" w:line="276" w:lineRule="auto"/>
        <w:ind w:left="2410" w:hanging="430"/>
        <w:contextualSpacing w:val="0"/>
        <w:rPr>
          <w:rFonts w:ascii="Open Sans" w:hAnsi="Open Sans" w:cs="Open Sans"/>
          <w:bCs/>
          <w:sz w:val="22"/>
          <w:szCs w:val="22"/>
        </w:rPr>
      </w:pPr>
      <w:bookmarkStart w:id="0" w:name="_Hlk143762955"/>
      <w:r w:rsidRPr="00F2712B">
        <w:rPr>
          <w:rFonts w:ascii="Open Sans" w:hAnsi="Open Sans" w:cs="Open Sans"/>
          <w:bCs/>
          <w:sz w:val="22"/>
          <w:szCs w:val="22"/>
        </w:rPr>
        <w:t xml:space="preserve">koszty koordynatora projektu oraz innego personelu zaangażowanego w zarządzanie, rozliczanie, monitorowanie projektu lub prowadzenie innych działań administracyjnych </w:t>
      </w:r>
      <w:r w:rsidR="00F2712B">
        <w:rPr>
          <w:rFonts w:ascii="Open Sans" w:hAnsi="Open Sans" w:cs="Open Sans"/>
          <w:bCs/>
          <w:sz w:val="22"/>
          <w:szCs w:val="22"/>
        </w:rPr>
        <w:br/>
      </w:r>
      <w:r w:rsidRPr="00F2712B">
        <w:rPr>
          <w:rFonts w:ascii="Open Sans" w:hAnsi="Open Sans" w:cs="Open Sans"/>
          <w:bCs/>
          <w:sz w:val="22"/>
          <w:szCs w:val="22"/>
        </w:rPr>
        <w:t xml:space="preserve">w projekcie, w szczególności koszty wynagrodzenia tych osób, </w:t>
      </w:r>
      <w:r w:rsidR="00F2712B">
        <w:rPr>
          <w:rFonts w:ascii="Open Sans" w:hAnsi="Open Sans" w:cs="Open Sans"/>
          <w:bCs/>
          <w:sz w:val="22"/>
          <w:szCs w:val="22"/>
        </w:rPr>
        <w:br/>
      </w:r>
      <w:r w:rsidRPr="00F2712B">
        <w:rPr>
          <w:rFonts w:ascii="Open Sans" w:hAnsi="Open Sans" w:cs="Open Sans"/>
          <w:bCs/>
          <w:sz w:val="22"/>
          <w:szCs w:val="22"/>
        </w:rPr>
        <w:t xml:space="preserve">ich delegacji służbowych </w:t>
      </w:r>
      <w:r w:rsidR="00336793" w:rsidRPr="00F2712B">
        <w:rPr>
          <w:rFonts w:ascii="Open Sans" w:hAnsi="Open Sans" w:cs="Open Sans"/>
          <w:bCs/>
          <w:sz w:val="22"/>
          <w:szCs w:val="22"/>
        </w:rPr>
        <w:t>i </w:t>
      </w:r>
      <w:r w:rsidRPr="00F2712B">
        <w:rPr>
          <w:rFonts w:ascii="Open Sans" w:hAnsi="Open Sans" w:cs="Open Sans"/>
          <w:bCs/>
          <w:sz w:val="22"/>
          <w:szCs w:val="22"/>
        </w:rPr>
        <w:t>szkoleń;</w:t>
      </w:r>
    </w:p>
    <w:p w14:paraId="31765DB1" w14:textId="77777777" w:rsidR="00EB4765" w:rsidRPr="00F2712B" w:rsidRDefault="00EB4765" w:rsidP="00F2712B">
      <w:pPr>
        <w:pStyle w:val="Akapitzlist"/>
        <w:numPr>
          <w:ilvl w:val="2"/>
          <w:numId w:val="15"/>
        </w:numPr>
        <w:spacing w:before="120" w:line="276" w:lineRule="auto"/>
        <w:ind w:left="2410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F2712B">
        <w:rPr>
          <w:rFonts w:ascii="Open Sans" w:hAnsi="Open Sans" w:cs="Open Sans"/>
          <w:bCs/>
          <w:sz w:val="22"/>
          <w:szCs w:val="22"/>
        </w:rPr>
        <w:t>koszty zarządu (wynagrodzenia osób uprawnionych do reprezentowania jednostki, których zakresy czynności nie są przypisane wyłącznie do projektu, np. kierownika jednostki);</w:t>
      </w:r>
    </w:p>
    <w:p w14:paraId="24F51A28" w14:textId="77777777" w:rsidR="00EB4765" w:rsidRPr="00F2712B" w:rsidRDefault="00EB4765" w:rsidP="00F2712B">
      <w:pPr>
        <w:pStyle w:val="Akapitzlist"/>
        <w:numPr>
          <w:ilvl w:val="2"/>
          <w:numId w:val="15"/>
        </w:numPr>
        <w:spacing w:before="120" w:line="276" w:lineRule="auto"/>
        <w:ind w:left="2410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F2712B">
        <w:rPr>
          <w:rFonts w:ascii="Open Sans" w:hAnsi="Open Sans" w:cs="Open Sans"/>
          <w:bCs/>
          <w:sz w:val="22"/>
          <w:szCs w:val="22"/>
        </w:rPr>
        <w:t>koszty personelu obsługowego (obsługa kadrowa, finansowa, administracyjna, sekretariat, kancelaria, obsługa prawna, w tym dotycząca zamówień) na potrzeby funkcjonowania jednostki;</w:t>
      </w:r>
    </w:p>
    <w:p w14:paraId="69F9359D" w14:textId="77777777" w:rsidR="00EB4765" w:rsidRPr="00F2712B" w:rsidRDefault="00EB4765" w:rsidP="00F2712B">
      <w:pPr>
        <w:pStyle w:val="Akapitzlist"/>
        <w:numPr>
          <w:ilvl w:val="2"/>
          <w:numId w:val="15"/>
        </w:numPr>
        <w:spacing w:before="120" w:line="276" w:lineRule="auto"/>
        <w:ind w:left="2410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F2712B">
        <w:rPr>
          <w:rFonts w:ascii="Open Sans" w:hAnsi="Open Sans" w:cs="Open Sans"/>
          <w:bCs/>
          <w:sz w:val="22"/>
          <w:szCs w:val="22"/>
        </w:rPr>
        <w:t>koszty obsługi księgowej (wynagrodzenia osób księgujących wydatki w projekcie, koszty związane ze zleceniem prowadzenia obsługi księgowej projektu biuru rachunkowemu);</w:t>
      </w:r>
    </w:p>
    <w:p w14:paraId="188AB402" w14:textId="77777777" w:rsidR="00EB4765" w:rsidRPr="00F2712B" w:rsidRDefault="00EB4765" w:rsidP="00F2712B">
      <w:pPr>
        <w:pStyle w:val="Akapitzlist"/>
        <w:numPr>
          <w:ilvl w:val="2"/>
          <w:numId w:val="15"/>
        </w:numPr>
        <w:spacing w:before="120" w:line="276" w:lineRule="auto"/>
        <w:ind w:left="2410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F2712B">
        <w:rPr>
          <w:rFonts w:ascii="Open Sans" w:hAnsi="Open Sans" w:cs="Open Sans"/>
          <w:sz w:val="22"/>
          <w:szCs w:val="22"/>
        </w:rPr>
        <w:t>koszty utrzymania powierzchni biurowych (czynsz, najem, opłaty administracyjne);</w:t>
      </w:r>
      <w:r w:rsidRPr="00F2712B">
        <w:rPr>
          <w:rFonts w:ascii="Open Sans" w:hAnsi="Open Sans" w:cs="Open Sans"/>
          <w:bCs/>
          <w:sz w:val="22"/>
          <w:szCs w:val="22"/>
        </w:rPr>
        <w:t xml:space="preserve"> </w:t>
      </w:r>
    </w:p>
    <w:p w14:paraId="1C2880C1" w14:textId="46386CC2" w:rsidR="00EB4765" w:rsidRPr="00F2712B" w:rsidRDefault="00EB4765" w:rsidP="00F2712B">
      <w:pPr>
        <w:pStyle w:val="Akapitzlist"/>
        <w:numPr>
          <w:ilvl w:val="2"/>
          <w:numId w:val="15"/>
        </w:numPr>
        <w:spacing w:before="120" w:line="276" w:lineRule="auto"/>
        <w:ind w:left="2410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F2712B">
        <w:rPr>
          <w:rFonts w:ascii="Open Sans" w:hAnsi="Open Sans" w:cs="Open Sans"/>
          <w:sz w:val="22"/>
          <w:szCs w:val="22"/>
        </w:rPr>
        <w:t>wydatki związane z otworzeniem lub prowadzeniem wyodrębnionego na rzecz projektu subkonta na rachunku płatniczym lub odrębnego rachunku płatniczego</w:t>
      </w:r>
      <w:r w:rsidRPr="00F2712B">
        <w:rPr>
          <w:rFonts w:ascii="Open Sans" w:hAnsi="Open Sans" w:cs="Open Sans"/>
          <w:bCs/>
          <w:sz w:val="22"/>
          <w:szCs w:val="22"/>
        </w:rPr>
        <w:t>;</w:t>
      </w:r>
    </w:p>
    <w:p w14:paraId="58E01F4A" w14:textId="23CE9CB9" w:rsidR="00EB4765" w:rsidRPr="00F2712B" w:rsidRDefault="00EB4765" w:rsidP="00F2712B">
      <w:pPr>
        <w:pStyle w:val="Akapitzlist"/>
        <w:numPr>
          <w:ilvl w:val="2"/>
          <w:numId w:val="15"/>
        </w:numPr>
        <w:spacing w:before="120" w:line="276" w:lineRule="auto"/>
        <w:ind w:left="2410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F2712B">
        <w:rPr>
          <w:rFonts w:ascii="Open Sans" w:hAnsi="Open Sans" w:cs="Open Sans"/>
          <w:sz w:val="22"/>
          <w:szCs w:val="22"/>
        </w:rPr>
        <w:t xml:space="preserve">odpisy amortyzacje, koszty najmu lub zakupu aktywów </w:t>
      </w:r>
      <w:r w:rsidR="00F2712B">
        <w:rPr>
          <w:rFonts w:ascii="Open Sans" w:hAnsi="Open Sans" w:cs="Open Sans"/>
          <w:sz w:val="22"/>
          <w:szCs w:val="22"/>
        </w:rPr>
        <w:br/>
      </w:r>
      <w:r w:rsidRPr="00F2712B">
        <w:rPr>
          <w:rFonts w:ascii="Open Sans" w:hAnsi="Open Sans" w:cs="Open Sans"/>
          <w:sz w:val="22"/>
          <w:szCs w:val="22"/>
        </w:rPr>
        <w:t>(środków trwałych i wartości niematerialnych i prawnych) używanych na potrzeby osób, o których mowa w lit. a-d;</w:t>
      </w:r>
    </w:p>
    <w:p w14:paraId="291D360C" w14:textId="77777777" w:rsidR="00EB4765" w:rsidRPr="00F2712B" w:rsidRDefault="00EB4765" w:rsidP="00F2712B">
      <w:pPr>
        <w:pStyle w:val="Akapitzlist"/>
        <w:numPr>
          <w:ilvl w:val="2"/>
          <w:numId w:val="15"/>
        </w:numPr>
        <w:spacing w:before="120" w:line="276" w:lineRule="auto"/>
        <w:ind w:left="2410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F2712B">
        <w:rPr>
          <w:rFonts w:ascii="Open Sans" w:hAnsi="Open Sans" w:cs="Open Sans"/>
          <w:sz w:val="22"/>
          <w:szCs w:val="22"/>
        </w:rPr>
        <w:t>opłaty za energię elektryczną, cieplną, gazową i wodę, opłaty przesyłowe, opłaty za odprowadzanie ścieków, opłaty za wywóz odpadów komunalnych;</w:t>
      </w:r>
    </w:p>
    <w:p w14:paraId="60AF2DDE" w14:textId="35913536" w:rsidR="00EB4765" w:rsidRPr="00F2712B" w:rsidRDefault="00EB4765" w:rsidP="00F2712B">
      <w:pPr>
        <w:pStyle w:val="Akapitzlist"/>
        <w:numPr>
          <w:ilvl w:val="2"/>
          <w:numId w:val="15"/>
        </w:numPr>
        <w:spacing w:before="120" w:line="276" w:lineRule="auto"/>
        <w:ind w:left="2410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F2712B">
        <w:rPr>
          <w:rFonts w:ascii="Open Sans" w:hAnsi="Open Sans" w:cs="Open Sans"/>
          <w:sz w:val="22"/>
          <w:szCs w:val="22"/>
        </w:rPr>
        <w:t>koszty usług pocztowych, telefonicznych, internetowych, kurierskich;</w:t>
      </w:r>
    </w:p>
    <w:p w14:paraId="3B7F90BD" w14:textId="3AC02D04" w:rsidR="00EB4765" w:rsidRPr="00F2712B" w:rsidRDefault="00FD2D29" w:rsidP="00F2712B">
      <w:pPr>
        <w:pStyle w:val="Akapitzlist"/>
        <w:numPr>
          <w:ilvl w:val="2"/>
          <w:numId w:val="15"/>
        </w:numPr>
        <w:tabs>
          <w:tab w:val="left" w:pos="2268"/>
        </w:tabs>
        <w:spacing w:before="120" w:line="276" w:lineRule="auto"/>
        <w:ind w:left="2410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F2712B">
        <w:rPr>
          <w:rFonts w:ascii="Open Sans" w:hAnsi="Open Sans" w:cs="Open Sans"/>
          <w:sz w:val="22"/>
          <w:szCs w:val="22"/>
        </w:rPr>
        <w:t xml:space="preserve">  </w:t>
      </w:r>
      <w:r w:rsidR="00EB4765" w:rsidRPr="00F2712B">
        <w:rPr>
          <w:rFonts w:ascii="Open Sans" w:hAnsi="Open Sans" w:cs="Open Sans"/>
          <w:sz w:val="22"/>
          <w:szCs w:val="22"/>
        </w:rPr>
        <w:t>koszty usług powielania dokumentów;</w:t>
      </w:r>
    </w:p>
    <w:p w14:paraId="27E07C80" w14:textId="77777777" w:rsidR="00EB4765" w:rsidRPr="00F2712B" w:rsidRDefault="00EB4765" w:rsidP="00F2712B">
      <w:pPr>
        <w:pStyle w:val="Akapitzlist"/>
        <w:numPr>
          <w:ilvl w:val="2"/>
          <w:numId w:val="15"/>
        </w:numPr>
        <w:spacing w:before="120" w:line="276" w:lineRule="auto"/>
        <w:ind w:left="2410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F2712B">
        <w:rPr>
          <w:rFonts w:ascii="Open Sans" w:hAnsi="Open Sans" w:cs="Open Sans"/>
          <w:sz w:val="22"/>
          <w:szCs w:val="22"/>
        </w:rPr>
        <w:t>koszty materiałów biurowych i artykułów piśmienniczych;</w:t>
      </w:r>
    </w:p>
    <w:p w14:paraId="6A150C2B" w14:textId="76DAF75D" w:rsidR="00EB4765" w:rsidRPr="00F2712B" w:rsidRDefault="00EB4765" w:rsidP="00F2712B">
      <w:pPr>
        <w:pStyle w:val="Akapitzlist"/>
        <w:numPr>
          <w:ilvl w:val="2"/>
          <w:numId w:val="15"/>
        </w:numPr>
        <w:spacing w:before="120" w:line="276" w:lineRule="auto"/>
        <w:ind w:left="2410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F2712B">
        <w:rPr>
          <w:rFonts w:ascii="Open Sans" w:hAnsi="Open Sans" w:cs="Open Sans"/>
          <w:sz w:val="22"/>
          <w:szCs w:val="22"/>
        </w:rPr>
        <w:t>koszty ochrony;</w:t>
      </w:r>
    </w:p>
    <w:p w14:paraId="4480CD60" w14:textId="798BD714" w:rsidR="00EB4765" w:rsidRPr="00F2712B" w:rsidRDefault="00EB4765" w:rsidP="00F2712B">
      <w:pPr>
        <w:pStyle w:val="Akapitzlist"/>
        <w:numPr>
          <w:ilvl w:val="2"/>
          <w:numId w:val="15"/>
        </w:numPr>
        <w:spacing w:before="120" w:line="276" w:lineRule="auto"/>
        <w:ind w:left="2410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F2712B">
        <w:rPr>
          <w:rFonts w:ascii="Open Sans" w:hAnsi="Open Sans" w:cs="Open Sans"/>
          <w:sz w:val="22"/>
          <w:szCs w:val="22"/>
        </w:rPr>
        <w:t>koszty sprzątania pomieszczeń, w tym środków czystości, dezynsekcji, dezynfekcji, deratyzacji tych pomieszczeń;</w:t>
      </w:r>
      <w:r w:rsidRPr="00F2712B">
        <w:rPr>
          <w:rFonts w:ascii="Open Sans" w:hAnsi="Open Sans" w:cs="Open Sans"/>
          <w:bCs/>
          <w:sz w:val="22"/>
          <w:szCs w:val="22"/>
        </w:rPr>
        <w:t xml:space="preserve"> </w:t>
      </w:r>
    </w:p>
    <w:p w14:paraId="1C53AA1A" w14:textId="77777777" w:rsidR="00EB4765" w:rsidRPr="00F2712B" w:rsidRDefault="00EB4765" w:rsidP="00F2712B">
      <w:pPr>
        <w:pStyle w:val="Akapitzlist"/>
        <w:numPr>
          <w:ilvl w:val="2"/>
          <w:numId w:val="15"/>
        </w:numPr>
        <w:spacing w:before="120" w:line="276" w:lineRule="auto"/>
        <w:ind w:left="2410" w:hanging="430"/>
        <w:contextualSpacing w:val="0"/>
        <w:rPr>
          <w:rFonts w:ascii="Open Sans" w:hAnsi="Open Sans" w:cs="Open Sans"/>
          <w:sz w:val="22"/>
          <w:szCs w:val="22"/>
        </w:rPr>
      </w:pPr>
      <w:r w:rsidRPr="00F2712B">
        <w:rPr>
          <w:rFonts w:ascii="Open Sans" w:hAnsi="Open Sans" w:cs="Open Sans"/>
          <w:sz w:val="22"/>
          <w:szCs w:val="22"/>
        </w:rPr>
        <w:lastRenderedPageBreak/>
        <w:t>opłaty pobierane od dokonywanych transakcji płatniczych (krajowych lub zagranicznych).</w:t>
      </w:r>
      <w:r w:rsidRPr="00F2712B">
        <w:rPr>
          <w:rFonts w:ascii="Open Sans" w:hAnsi="Open Sans" w:cs="Open Sans"/>
          <w:bCs/>
          <w:sz w:val="22"/>
          <w:szCs w:val="22"/>
        </w:rPr>
        <w:t xml:space="preserve"> </w:t>
      </w:r>
      <w:bookmarkEnd w:id="0"/>
    </w:p>
    <w:p w14:paraId="50B17332" w14:textId="688E3DD8" w:rsidR="00EB4765" w:rsidRPr="00F2712B" w:rsidRDefault="00EB4765" w:rsidP="00F2712B">
      <w:pPr>
        <w:spacing w:before="120" w:after="0" w:line="276" w:lineRule="auto"/>
        <w:rPr>
          <w:rFonts w:ascii="Open Sans" w:hAnsi="Open Sans" w:cs="Open Sans"/>
        </w:rPr>
      </w:pPr>
      <w:r w:rsidRPr="00F2712B">
        <w:rPr>
          <w:rFonts w:ascii="Open Sans" w:hAnsi="Open Sans" w:cs="Open Sans"/>
        </w:rPr>
        <w:t xml:space="preserve">Niedopuszczalna jest sytuacja, w której koszty pośrednie zostaną rozliczone </w:t>
      </w:r>
      <w:r w:rsidR="00336793" w:rsidRPr="00F2712B">
        <w:rPr>
          <w:rFonts w:ascii="Open Sans" w:hAnsi="Open Sans" w:cs="Open Sans"/>
        </w:rPr>
        <w:t>w </w:t>
      </w:r>
      <w:r w:rsidRPr="00F2712B">
        <w:rPr>
          <w:rFonts w:ascii="Open Sans" w:hAnsi="Open Sans" w:cs="Open Sans"/>
        </w:rPr>
        <w:t>ramach kosztów bezpośrednich.</w:t>
      </w:r>
    </w:p>
    <w:p w14:paraId="5AD7D75D" w14:textId="77777777" w:rsidR="00BB6E44" w:rsidRPr="00F2712B" w:rsidRDefault="00BB6E44" w:rsidP="00F2712B">
      <w:pPr>
        <w:pStyle w:val="Akapitzlist"/>
        <w:numPr>
          <w:ilvl w:val="0"/>
          <w:numId w:val="15"/>
        </w:numPr>
        <w:spacing w:before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F2712B">
        <w:rPr>
          <w:rFonts w:ascii="Open Sans" w:hAnsi="Open Sans" w:cs="Open Sans"/>
          <w:sz w:val="22"/>
          <w:szCs w:val="22"/>
        </w:rPr>
        <w:t>W ramach projektów nie będą kwalifikowalne m.in.:</w:t>
      </w:r>
    </w:p>
    <w:p w14:paraId="0CD75C28" w14:textId="77777777" w:rsidR="008A3D93" w:rsidRPr="00F2712B" w:rsidRDefault="008A3D93" w:rsidP="00F2712B">
      <w:pPr>
        <w:pStyle w:val="Akapitzlist"/>
        <w:numPr>
          <w:ilvl w:val="0"/>
          <w:numId w:val="19"/>
        </w:numPr>
        <w:spacing w:before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F2712B">
        <w:rPr>
          <w:rFonts w:ascii="Open Sans" w:hAnsi="Open Sans" w:cs="Open Sans"/>
          <w:sz w:val="22"/>
          <w:szCs w:val="22"/>
        </w:rPr>
        <w:t>wkład niepieniężny;</w:t>
      </w:r>
    </w:p>
    <w:p w14:paraId="3CF71A1C" w14:textId="77777777" w:rsidR="008A3D93" w:rsidRPr="00F2712B" w:rsidRDefault="008A3D93" w:rsidP="00F2712B">
      <w:pPr>
        <w:pStyle w:val="Akapitzlist"/>
        <w:numPr>
          <w:ilvl w:val="0"/>
          <w:numId w:val="19"/>
        </w:numPr>
        <w:spacing w:before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F2712B">
        <w:rPr>
          <w:rFonts w:ascii="Open Sans" w:hAnsi="Open Sans" w:cs="Open Sans"/>
          <w:sz w:val="22"/>
          <w:szCs w:val="22"/>
        </w:rPr>
        <w:t>koszty związane z zakupem nieruchomości;</w:t>
      </w:r>
    </w:p>
    <w:p w14:paraId="6EB18B1F" w14:textId="33E76D5F" w:rsidR="008A3D93" w:rsidRPr="00F2712B" w:rsidRDefault="008A3D93" w:rsidP="00F2712B">
      <w:pPr>
        <w:pStyle w:val="Akapitzlist"/>
        <w:numPr>
          <w:ilvl w:val="0"/>
          <w:numId w:val="19"/>
        </w:numPr>
        <w:spacing w:before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F2712B">
        <w:rPr>
          <w:rFonts w:ascii="Open Sans" w:hAnsi="Open Sans" w:cs="Open Sans"/>
          <w:sz w:val="22"/>
          <w:szCs w:val="22"/>
        </w:rPr>
        <w:t xml:space="preserve">koszty związane z nabyciem prawa użytkowania wieczystego </w:t>
      </w:r>
      <w:r w:rsidR="00336793" w:rsidRPr="00F2712B">
        <w:rPr>
          <w:rFonts w:ascii="Open Sans" w:hAnsi="Open Sans" w:cs="Open Sans"/>
          <w:sz w:val="22"/>
          <w:szCs w:val="22"/>
        </w:rPr>
        <w:t>i </w:t>
      </w:r>
      <w:r w:rsidRPr="00F2712B">
        <w:rPr>
          <w:rFonts w:ascii="Open Sans" w:hAnsi="Open Sans" w:cs="Open Sans"/>
          <w:sz w:val="22"/>
          <w:szCs w:val="22"/>
        </w:rPr>
        <w:t>innych tytułów</w:t>
      </w:r>
      <w:r w:rsidR="00D75CB7" w:rsidRPr="00F2712B">
        <w:rPr>
          <w:rFonts w:ascii="Open Sans" w:hAnsi="Open Sans" w:cs="Open Sans"/>
          <w:sz w:val="22"/>
          <w:szCs w:val="22"/>
        </w:rPr>
        <w:t xml:space="preserve"> </w:t>
      </w:r>
      <w:r w:rsidRPr="00F2712B">
        <w:rPr>
          <w:rFonts w:ascii="Open Sans" w:hAnsi="Open Sans" w:cs="Open Sans"/>
          <w:sz w:val="22"/>
          <w:szCs w:val="22"/>
        </w:rPr>
        <w:t>prawnych do nieruchomości;</w:t>
      </w:r>
    </w:p>
    <w:p w14:paraId="256DECDE" w14:textId="485F1D8E" w:rsidR="00522DF0" w:rsidRPr="00F2712B" w:rsidRDefault="008A3D93" w:rsidP="00F2712B">
      <w:pPr>
        <w:pStyle w:val="Akapitzlist"/>
        <w:numPr>
          <w:ilvl w:val="0"/>
          <w:numId w:val="19"/>
        </w:numPr>
        <w:spacing w:before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F2712B">
        <w:rPr>
          <w:rFonts w:ascii="Open Sans" w:hAnsi="Open Sans" w:cs="Open Sans"/>
          <w:sz w:val="22"/>
          <w:szCs w:val="22"/>
        </w:rPr>
        <w:t>a</w:t>
      </w:r>
      <w:bookmarkStart w:id="1" w:name="_Hlk143256019"/>
      <w:r w:rsidRPr="00F2712B">
        <w:rPr>
          <w:rFonts w:ascii="Open Sans" w:hAnsi="Open Sans" w:cs="Open Sans"/>
          <w:sz w:val="22"/>
          <w:szCs w:val="22"/>
        </w:rPr>
        <w:t>mortyzacja</w:t>
      </w:r>
      <w:r w:rsidR="00B461B6" w:rsidRPr="00F2712B">
        <w:rPr>
          <w:rFonts w:ascii="Open Sans" w:hAnsi="Open Sans" w:cs="Open Sans"/>
          <w:sz w:val="22"/>
          <w:szCs w:val="22"/>
        </w:rPr>
        <w:t xml:space="preserve"> i leasing środków trwałych oraz wartości niematerialnych </w:t>
      </w:r>
      <w:r w:rsidR="00F2712B">
        <w:rPr>
          <w:rFonts w:ascii="Open Sans" w:hAnsi="Open Sans" w:cs="Open Sans"/>
          <w:sz w:val="22"/>
          <w:szCs w:val="22"/>
        </w:rPr>
        <w:br/>
      </w:r>
      <w:r w:rsidR="00B461B6" w:rsidRPr="00F2712B">
        <w:rPr>
          <w:rFonts w:ascii="Open Sans" w:hAnsi="Open Sans" w:cs="Open Sans"/>
          <w:sz w:val="22"/>
          <w:szCs w:val="22"/>
        </w:rPr>
        <w:t>i prawnych</w:t>
      </w:r>
      <w:bookmarkEnd w:id="1"/>
      <w:r w:rsidRPr="00F2712B">
        <w:rPr>
          <w:rFonts w:ascii="Open Sans" w:hAnsi="Open Sans" w:cs="Open Sans"/>
          <w:sz w:val="22"/>
          <w:szCs w:val="22"/>
        </w:rPr>
        <w:t>.</w:t>
      </w:r>
    </w:p>
    <w:p w14:paraId="7088AE78" w14:textId="269391E8" w:rsidR="00BB6E44" w:rsidRPr="00F2712B" w:rsidRDefault="00BB6E44" w:rsidP="00F2712B">
      <w:pPr>
        <w:pStyle w:val="Akapitzlist"/>
        <w:numPr>
          <w:ilvl w:val="0"/>
          <w:numId w:val="15"/>
        </w:numPr>
        <w:spacing w:before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F2712B">
        <w:rPr>
          <w:rFonts w:ascii="Open Sans" w:hAnsi="Open Sans" w:cs="Open Sans"/>
          <w:sz w:val="22"/>
          <w:szCs w:val="22"/>
        </w:rPr>
        <w:t xml:space="preserve">Dodatkowo, wydatkami niekwalifikowalnymi są wydatki wskazane </w:t>
      </w:r>
      <w:r w:rsidR="00336793" w:rsidRPr="00F2712B">
        <w:rPr>
          <w:rFonts w:ascii="Open Sans" w:hAnsi="Open Sans" w:cs="Open Sans"/>
          <w:sz w:val="22"/>
          <w:szCs w:val="22"/>
        </w:rPr>
        <w:t>w </w:t>
      </w:r>
      <w:r w:rsidRPr="00F2712B">
        <w:rPr>
          <w:rFonts w:ascii="Open Sans" w:hAnsi="Open Sans" w:cs="Open Sans"/>
          <w:sz w:val="22"/>
          <w:szCs w:val="22"/>
        </w:rPr>
        <w:t>art</w:t>
      </w:r>
      <w:r w:rsidR="00336793" w:rsidRPr="00F2712B">
        <w:rPr>
          <w:rFonts w:ascii="Open Sans" w:hAnsi="Open Sans" w:cs="Open Sans"/>
          <w:sz w:val="22"/>
          <w:szCs w:val="22"/>
        </w:rPr>
        <w:t>. </w:t>
      </w:r>
      <w:r w:rsidRPr="00F2712B">
        <w:rPr>
          <w:rFonts w:ascii="Open Sans" w:hAnsi="Open Sans" w:cs="Open Sans"/>
          <w:sz w:val="22"/>
          <w:szCs w:val="22"/>
        </w:rPr>
        <w:t xml:space="preserve">64 rozporządzenia ogólnego, art. 7 ust. 1 i 5 rozporządzenia EFRR </w:t>
      </w:r>
      <w:r w:rsidR="00336793" w:rsidRPr="00F2712B">
        <w:rPr>
          <w:rFonts w:ascii="Open Sans" w:hAnsi="Open Sans" w:cs="Open Sans"/>
          <w:sz w:val="22"/>
          <w:szCs w:val="22"/>
        </w:rPr>
        <w:t>i </w:t>
      </w:r>
      <w:r w:rsidRPr="00F2712B">
        <w:rPr>
          <w:rFonts w:ascii="Open Sans" w:hAnsi="Open Sans" w:cs="Open Sans"/>
          <w:sz w:val="22"/>
          <w:szCs w:val="22"/>
        </w:rPr>
        <w:t>FS, oraz</w:t>
      </w:r>
      <w:r w:rsidR="006179FA" w:rsidRPr="00F2712B">
        <w:rPr>
          <w:rFonts w:ascii="Open Sans" w:hAnsi="Open Sans" w:cs="Open Sans"/>
          <w:sz w:val="22"/>
          <w:szCs w:val="22"/>
        </w:rPr>
        <w:t xml:space="preserve"> </w:t>
      </w:r>
      <w:bookmarkStart w:id="2" w:name="_Hlk143602395"/>
      <w:r w:rsidR="00F05B66" w:rsidRPr="00F2712B">
        <w:rPr>
          <w:rFonts w:ascii="Open Sans" w:hAnsi="Open Sans" w:cs="Open Sans"/>
          <w:sz w:val="22"/>
          <w:szCs w:val="22"/>
        </w:rPr>
        <w:t>p</w:t>
      </w:r>
      <w:r w:rsidR="006179FA" w:rsidRPr="00F2712B">
        <w:rPr>
          <w:rFonts w:ascii="Open Sans" w:hAnsi="Open Sans" w:cs="Open Sans"/>
          <w:sz w:val="22"/>
          <w:szCs w:val="22"/>
        </w:rPr>
        <w:t>odrozdzia</w:t>
      </w:r>
      <w:r w:rsidR="00F05B66" w:rsidRPr="00F2712B">
        <w:rPr>
          <w:rFonts w:ascii="Open Sans" w:hAnsi="Open Sans" w:cs="Open Sans"/>
          <w:sz w:val="22"/>
          <w:szCs w:val="22"/>
        </w:rPr>
        <w:t>le</w:t>
      </w:r>
      <w:r w:rsidR="006179FA" w:rsidRPr="00F2712B">
        <w:rPr>
          <w:rFonts w:ascii="Open Sans" w:hAnsi="Open Sans" w:cs="Open Sans"/>
          <w:sz w:val="22"/>
          <w:szCs w:val="22"/>
        </w:rPr>
        <w:t xml:space="preserve"> 2.3. Wydatki niekwalifikowalne</w:t>
      </w:r>
      <w:r w:rsidR="00BA4CBE" w:rsidRPr="00F2712B">
        <w:rPr>
          <w:rFonts w:ascii="Open Sans" w:hAnsi="Open Sans" w:cs="Open Sans"/>
          <w:sz w:val="22"/>
          <w:szCs w:val="22"/>
        </w:rPr>
        <w:t xml:space="preserve"> </w:t>
      </w:r>
      <w:hyperlink r:id="rId10" w:history="1">
        <w:r w:rsidR="00BA4CBE" w:rsidRPr="00F2712B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na lata 2021-2027</w:t>
        </w:r>
      </w:hyperlink>
      <w:bookmarkEnd w:id="2"/>
      <w:r w:rsidR="00F05B66" w:rsidRPr="00F2712B">
        <w:rPr>
          <w:rFonts w:ascii="Open Sans" w:hAnsi="Open Sans" w:cs="Open Sans"/>
          <w:sz w:val="22"/>
          <w:szCs w:val="22"/>
        </w:rPr>
        <w:t>.</w:t>
      </w:r>
    </w:p>
    <w:p w14:paraId="59D0C8C4" w14:textId="77777777" w:rsidR="00BB6E44" w:rsidRPr="00F2712B" w:rsidRDefault="00BB6E44" w:rsidP="00F2712B">
      <w:pPr>
        <w:spacing w:before="120" w:after="0" w:line="276" w:lineRule="auto"/>
        <w:rPr>
          <w:rFonts w:ascii="Open Sans" w:hAnsi="Open Sans" w:cs="Open Sans"/>
        </w:rPr>
      </w:pPr>
    </w:p>
    <w:sectPr w:rsidR="00BB6E44" w:rsidRPr="00F2712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899AE" w14:textId="77777777" w:rsidR="00BB2CEF" w:rsidRDefault="00BB2CEF" w:rsidP="00BB2CEF">
      <w:pPr>
        <w:spacing w:after="0" w:line="240" w:lineRule="auto"/>
      </w:pPr>
      <w:r>
        <w:separator/>
      </w:r>
    </w:p>
  </w:endnote>
  <w:endnote w:type="continuationSeparator" w:id="0">
    <w:p w14:paraId="6FF2CA17" w14:textId="77777777" w:rsidR="00BB2CEF" w:rsidRDefault="00BB2CEF" w:rsidP="00BB2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8563360"/>
      <w:docPartObj>
        <w:docPartGallery w:val="Page Numbers (Bottom of Page)"/>
        <w:docPartUnique/>
      </w:docPartObj>
    </w:sdtPr>
    <w:sdtEndPr/>
    <w:sdtContent>
      <w:p w14:paraId="0932D3E2" w14:textId="5185A9FD" w:rsidR="00F2712B" w:rsidRDefault="00F2712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DC5461" w14:textId="77777777" w:rsidR="00F2712B" w:rsidRDefault="00F271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F2708" w14:textId="77777777" w:rsidR="00BB2CEF" w:rsidRDefault="00BB2CEF" w:rsidP="00BB2CEF">
      <w:pPr>
        <w:spacing w:after="0" w:line="240" w:lineRule="auto"/>
      </w:pPr>
      <w:r>
        <w:separator/>
      </w:r>
    </w:p>
  </w:footnote>
  <w:footnote w:type="continuationSeparator" w:id="0">
    <w:p w14:paraId="2940448B" w14:textId="77777777" w:rsidR="00BB2CEF" w:rsidRDefault="00BB2CEF" w:rsidP="00BB2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742AF" w14:textId="4F7E702F" w:rsidR="00C810AF" w:rsidRDefault="00C810AF">
    <w:pPr>
      <w:pStyle w:val="Nagwek"/>
    </w:pPr>
    <w:r w:rsidRPr="00F2712B">
      <w:rPr>
        <w:rFonts w:ascii="Open Sans" w:hAnsi="Open Sans" w:cs="Open Sans"/>
        <w:noProof/>
        <w:sz w:val="22"/>
        <w:szCs w:val="22"/>
      </w:rPr>
      <w:drawing>
        <wp:inline distT="0" distB="0" distL="0" distR="0" wp14:anchorId="40A290CB" wp14:editId="581A5A04">
          <wp:extent cx="5760720" cy="743585"/>
          <wp:effectExtent l="0" t="0" r="0" b="0"/>
          <wp:docPr id="1438174960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8174960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EB3"/>
    <w:multiLevelType w:val="hybridMultilevel"/>
    <w:tmpl w:val="596ACE2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3272E"/>
    <w:multiLevelType w:val="hybridMultilevel"/>
    <w:tmpl w:val="A392BB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E4DC2"/>
    <w:multiLevelType w:val="hybridMultilevel"/>
    <w:tmpl w:val="ED7E913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12A64"/>
    <w:multiLevelType w:val="hybridMultilevel"/>
    <w:tmpl w:val="CF7C867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D74A0"/>
    <w:multiLevelType w:val="hybridMultilevel"/>
    <w:tmpl w:val="DDE4FD2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0E568B"/>
    <w:multiLevelType w:val="hybridMultilevel"/>
    <w:tmpl w:val="2BA00D06"/>
    <w:lvl w:ilvl="0" w:tplc="14F6956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562D7"/>
    <w:multiLevelType w:val="hybridMultilevel"/>
    <w:tmpl w:val="20A47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72F0E"/>
    <w:multiLevelType w:val="hybridMultilevel"/>
    <w:tmpl w:val="1CEAB6F6"/>
    <w:lvl w:ilvl="0" w:tplc="0415001B">
      <w:start w:val="1"/>
      <w:numFmt w:val="lowerRoman"/>
      <w:lvlText w:val="%1."/>
      <w:lvlJc w:val="right"/>
      <w:pPr>
        <w:ind w:left="21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288812B7"/>
    <w:multiLevelType w:val="hybridMultilevel"/>
    <w:tmpl w:val="9E10694C"/>
    <w:lvl w:ilvl="0" w:tplc="AB16D7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7E1CA9"/>
    <w:multiLevelType w:val="hybridMultilevel"/>
    <w:tmpl w:val="272299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623FF8"/>
    <w:multiLevelType w:val="hybridMultilevel"/>
    <w:tmpl w:val="DE88C8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8F6586"/>
    <w:multiLevelType w:val="hybridMultilevel"/>
    <w:tmpl w:val="92B2356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B387AD4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 w:tplc="1C3A66A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956F6"/>
    <w:multiLevelType w:val="hybridMultilevel"/>
    <w:tmpl w:val="FF064374"/>
    <w:lvl w:ilvl="0" w:tplc="3978348C">
      <w:start w:val="1"/>
      <w:numFmt w:val="decimal"/>
      <w:lvlText w:val="%1."/>
      <w:lvlJc w:val="left"/>
      <w:pPr>
        <w:ind w:left="2484" w:hanging="360"/>
      </w:pPr>
      <w:rPr>
        <w:rFonts w:asciiTheme="minorHAnsi" w:hAnsiTheme="minorHAnsi" w:cstheme="minorBid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3" w15:restartNumberingAfterBreak="0">
    <w:nsid w:val="4A25291D"/>
    <w:multiLevelType w:val="hybridMultilevel"/>
    <w:tmpl w:val="AAC8489E"/>
    <w:lvl w:ilvl="0" w:tplc="0415001B">
      <w:start w:val="1"/>
      <w:numFmt w:val="lowerRoman"/>
      <w:lvlText w:val="%1."/>
      <w:lvlJc w:val="right"/>
      <w:pPr>
        <w:ind w:left="21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511D0DBF"/>
    <w:multiLevelType w:val="hybridMultilevel"/>
    <w:tmpl w:val="2D74248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3E3E08"/>
    <w:multiLevelType w:val="hybridMultilevel"/>
    <w:tmpl w:val="C8B68B6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255265"/>
    <w:multiLevelType w:val="hybridMultilevel"/>
    <w:tmpl w:val="1472D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D3708C"/>
    <w:multiLevelType w:val="hybridMultilevel"/>
    <w:tmpl w:val="101C41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E9412A"/>
    <w:multiLevelType w:val="hybridMultilevel"/>
    <w:tmpl w:val="24F8C760"/>
    <w:lvl w:ilvl="0" w:tplc="397834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7F57D7"/>
    <w:multiLevelType w:val="hybridMultilevel"/>
    <w:tmpl w:val="5D0CEF2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896392"/>
    <w:multiLevelType w:val="hybridMultilevel"/>
    <w:tmpl w:val="86946F70"/>
    <w:lvl w:ilvl="0" w:tplc="9440EA06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2B567B5"/>
    <w:multiLevelType w:val="hybridMultilevel"/>
    <w:tmpl w:val="B942C2A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823035"/>
    <w:multiLevelType w:val="hybridMultilevel"/>
    <w:tmpl w:val="2876B5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EE318AA"/>
    <w:multiLevelType w:val="hybridMultilevel"/>
    <w:tmpl w:val="CEF634A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0939630">
    <w:abstractNumId w:val="11"/>
  </w:num>
  <w:num w:numId="2" w16cid:durableId="815413543">
    <w:abstractNumId w:val="17"/>
  </w:num>
  <w:num w:numId="3" w16cid:durableId="633799599">
    <w:abstractNumId w:val="16"/>
  </w:num>
  <w:num w:numId="4" w16cid:durableId="1208569712">
    <w:abstractNumId w:val="1"/>
  </w:num>
  <w:num w:numId="5" w16cid:durableId="2115512944">
    <w:abstractNumId w:val="10"/>
  </w:num>
  <w:num w:numId="6" w16cid:durableId="219219986">
    <w:abstractNumId w:val="15"/>
  </w:num>
  <w:num w:numId="7" w16cid:durableId="15079746">
    <w:abstractNumId w:val="18"/>
  </w:num>
  <w:num w:numId="8" w16cid:durableId="952129595">
    <w:abstractNumId w:val="6"/>
  </w:num>
  <w:num w:numId="9" w16cid:durableId="1788818771">
    <w:abstractNumId w:val="20"/>
  </w:num>
  <w:num w:numId="10" w16cid:durableId="144325880">
    <w:abstractNumId w:val="5"/>
  </w:num>
  <w:num w:numId="11" w16cid:durableId="183634998">
    <w:abstractNumId w:val="8"/>
  </w:num>
  <w:num w:numId="12" w16cid:durableId="27727531">
    <w:abstractNumId w:val="13"/>
  </w:num>
  <w:num w:numId="13" w16cid:durableId="673142502">
    <w:abstractNumId w:val="12"/>
  </w:num>
  <w:num w:numId="14" w16cid:durableId="1701935316">
    <w:abstractNumId w:val="7"/>
  </w:num>
  <w:num w:numId="15" w16cid:durableId="1017543791">
    <w:abstractNumId w:val="21"/>
  </w:num>
  <w:num w:numId="16" w16cid:durableId="1002776302">
    <w:abstractNumId w:val="0"/>
  </w:num>
  <w:num w:numId="17" w16cid:durableId="1157722850">
    <w:abstractNumId w:val="2"/>
  </w:num>
  <w:num w:numId="18" w16cid:durableId="1128009481">
    <w:abstractNumId w:val="3"/>
  </w:num>
  <w:num w:numId="19" w16cid:durableId="881746954">
    <w:abstractNumId w:val="22"/>
  </w:num>
  <w:num w:numId="20" w16cid:durableId="759259147">
    <w:abstractNumId w:val="23"/>
  </w:num>
  <w:num w:numId="21" w16cid:durableId="154239656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59411471">
    <w:abstractNumId w:val="14"/>
  </w:num>
  <w:num w:numId="23" w16cid:durableId="170797314">
    <w:abstractNumId w:val="4"/>
  </w:num>
  <w:num w:numId="24" w16cid:durableId="180966981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E44"/>
    <w:rsid w:val="00015B64"/>
    <w:rsid w:val="000722BA"/>
    <w:rsid w:val="0008553E"/>
    <w:rsid w:val="001069E8"/>
    <w:rsid w:val="001325D7"/>
    <w:rsid w:val="001358DC"/>
    <w:rsid w:val="00141B1D"/>
    <w:rsid w:val="00153F38"/>
    <w:rsid w:val="00160EB5"/>
    <w:rsid w:val="00164205"/>
    <w:rsid w:val="00194744"/>
    <w:rsid w:val="001A7E13"/>
    <w:rsid w:val="00274BDF"/>
    <w:rsid w:val="0028721E"/>
    <w:rsid w:val="00297174"/>
    <w:rsid w:val="002D612C"/>
    <w:rsid w:val="00315C5B"/>
    <w:rsid w:val="00336793"/>
    <w:rsid w:val="00397487"/>
    <w:rsid w:val="003E1994"/>
    <w:rsid w:val="003F1D50"/>
    <w:rsid w:val="00420621"/>
    <w:rsid w:val="00445095"/>
    <w:rsid w:val="00491122"/>
    <w:rsid w:val="004D60F6"/>
    <w:rsid w:val="00517A9C"/>
    <w:rsid w:val="00520AB3"/>
    <w:rsid w:val="00522DF0"/>
    <w:rsid w:val="00585146"/>
    <w:rsid w:val="00595D62"/>
    <w:rsid w:val="005B1E6F"/>
    <w:rsid w:val="005F238F"/>
    <w:rsid w:val="00606A08"/>
    <w:rsid w:val="006179FA"/>
    <w:rsid w:val="00634C31"/>
    <w:rsid w:val="00663BE2"/>
    <w:rsid w:val="006C7ACE"/>
    <w:rsid w:val="00825F6A"/>
    <w:rsid w:val="008A3D93"/>
    <w:rsid w:val="00943473"/>
    <w:rsid w:val="00982343"/>
    <w:rsid w:val="009A0E96"/>
    <w:rsid w:val="009B2824"/>
    <w:rsid w:val="009F5DD2"/>
    <w:rsid w:val="00A121FF"/>
    <w:rsid w:val="00A14B5B"/>
    <w:rsid w:val="00A2102F"/>
    <w:rsid w:val="00A56D7D"/>
    <w:rsid w:val="00A744BC"/>
    <w:rsid w:val="00A95CA0"/>
    <w:rsid w:val="00A97F3F"/>
    <w:rsid w:val="00B34EC9"/>
    <w:rsid w:val="00B461B6"/>
    <w:rsid w:val="00B61AF4"/>
    <w:rsid w:val="00B92551"/>
    <w:rsid w:val="00BA4CBE"/>
    <w:rsid w:val="00BB2CEF"/>
    <w:rsid w:val="00BB6E44"/>
    <w:rsid w:val="00BC6D0E"/>
    <w:rsid w:val="00C631EC"/>
    <w:rsid w:val="00C7634F"/>
    <w:rsid w:val="00C810AF"/>
    <w:rsid w:val="00CB32BB"/>
    <w:rsid w:val="00CD3EDF"/>
    <w:rsid w:val="00CE3831"/>
    <w:rsid w:val="00D42BD5"/>
    <w:rsid w:val="00D57ABB"/>
    <w:rsid w:val="00D75CB7"/>
    <w:rsid w:val="00DA4CF1"/>
    <w:rsid w:val="00DD7B6D"/>
    <w:rsid w:val="00DF34DD"/>
    <w:rsid w:val="00E07076"/>
    <w:rsid w:val="00E110E3"/>
    <w:rsid w:val="00E44D13"/>
    <w:rsid w:val="00EA0D53"/>
    <w:rsid w:val="00EB142F"/>
    <w:rsid w:val="00EB4765"/>
    <w:rsid w:val="00EC00CB"/>
    <w:rsid w:val="00EC40EC"/>
    <w:rsid w:val="00F05B66"/>
    <w:rsid w:val="00F15CE3"/>
    <w:rsid w:val="00F16D9A"/>
    <w:rsid w:val="00F2712B"/>
    <w:rsid w:val="00F6523A"/>
    <w:rsid w:val="00FA4025"/>
    <w:rsid w:val="00FD2D29"/>
    <w:rsid w:val="00FF43A3"/>
    <w:rsid w:val="00FF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CD245"/>
  <w15:chartTrackingRefBased/>
  <w15:docId w15:val="{BF520B95-2E89-472D-AB42-BB566AE81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61A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0E9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BB6E44"/>
    <w:rPr>
      <w:sz w:val="24"/>
      <w:szCs w:val="24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BB6E44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8A3D93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3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3D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A3D9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3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3D93"/>
    <w:rPr>
      <w:b/>
      <w:bCs/>
      <w:sz w:val="20"/>
      <w:szCs w:val="20"/>
    </w:rPr>
  </w:style>
  <w:style w:type="paragraph" w:customStyle="1" w:styleId="Akapit">
    <w:name w:val="Akapit"/>
    <w:basedOn w:val="Nagwek6"/>
    <w:rsid w:val="009A0E96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0E9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1Znak">
    <w:name w:val="Nagłówek 1 Znak"/>
    <w:basedOn w:val="Domylnaczcionkaakapitu"/>
    <w:link w:val="Nagwek1"/>
    <w:uiPriority w:val="9"/>
    <w:rsid w:val="00B61AF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Poprawka">
    <w:name w:val="Revision"/>
    <w:hidden/>
    <w:uiPriority w:val="99"/>
    <w:semiHidden/>
    <w:rsid w:val="00F15CE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15CE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5CE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C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C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CEF"/>
    <w:rPr>
      <w:vertAlign w:val="superscript"/>
    </w:rPr>
  </w:style>
  <w:style w:type="paragraph" w:styleId="Nagwek">
    <w:name w:val="header"/>
    <w:basedOn w:val="Normalny"/>
    <w:link w:val="NagwekZnak"/>
    <w:rsid w:val="00B34EC9"/>
    <w:pPr>
      <w:keepLines/>
      <w:tabs>
        <w:tab w:val="center" w:pos="4320"/>
        <w:tab w:val="right" w:pos="8640"/>
      </w:tabs>
      <w:spacing w:after="0" w:line="240" w:lineRule="auto"/>
    </w:pPr>
    <w:rPr>
      <w:rFonts w:ascii="Arial Black" w:eastAsia="Times New Roman" w:hAnsi="Arial Black" w:cs="Times New Roman"/>
      <w:caps/>
      <w:spacing w:val="60"/>
      <w:sz w:val="1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B34EC9"/>
    <w:rPr>
      <w:rFonts w:ascii="Arial Black" w:eastAsia="Times New Roman" w:hAnsi="Arial Black" w:cs="Times New Roman"/>
      <w:caps/>
      <w:spacing w:val="60"/>
      <w:sz w:val="14"/>
      <w:szCs w:val="20"/>
      <w:lang w:eastAsia="pl-PL"/>
    </w:rPr>
  </w:style>
  <w:style w:type="paragraph" w:customStyle="1" w:styleId="ZnakZnakZnakZnakZnak1ZnakZnakZnakZnakZnakZnakZnakZnakZnak0">
    <w:name w:val="Znak Znak Znak Znak Znak1 Znak Znak Znak Znak Znak Znak Znak Znak Znak"/>
    <w:basedOn w:val="Normalny"/>
    <w:rsid w:val="00B34EC9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27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712B"/>
  </w:style>
  <w:style w:type="character" w:styleId="UyteHipercze">
    <w:name w:val="FollowedHyperlink"/>
    <w:basedOn w:val="Domylnaczcionkaakapitu"/>
    <w:uiPriority w:val="99"/>
    <w:semiHidden/>
    <w:unhideWhenUsed/>
    <w:rsid w:val="00F271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4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2343/Wytyczne_dotyczace_kwalifikowalnosci_2021_2027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funduszeeuropejskie.gov.pl/media/112343/Wytyczne_dotyczace_kwalifikowalnosci_2021_202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2343/Wytyczne_dotyczace_kwalifikowalnosci_2021_2027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5366A-E733-498B-A136-67488F1A6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3</Pages>
  <Words>583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RWP</dc:title>
  <dc:subject/>
  <dc:creator>Wichniarek Anita</dc:creator>
  <cp:keywords/>
  <dc:description/>
  <cp:lastModifiedBy>Zając Ewelina</cp:lastModifiedBy>
  <cp:revision>59</cp:revision>
  <dcterms:created xsi:type="dcterms:W3CDTF">2023-08-18T09:57:00Z</dcterms:created>
  <dcterms:modified xsi:type="dcterms:W3CDTF">2023-11-03T13:10:00Z</dcterms:modified>
</cp:coreProperties>
</file>